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Bronx STEAM Center</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33</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Bronx Exact Location TBD</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Send Cover Letter, Resume and Portfolio to:</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bronxsteamcenter@schools.nyc.gov</w:t>
        </w:r>
      </w:hyperlink>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2"/>
        </w:numPr>
        <w:spacing w:after="0" w:line="24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CTE Computer Technology 7-12</w:t>
      </w:r>
    </w:p>
    <w:p w:rsidR="00000000" w:rsidDel="00000000" w:rsidP="00000000" w:rsidRDefault="00000000" w:rsidRPr="00000000" w14:paraId="0000000A">
      <w:pPr>
        <w:numPr>
          <w:ilvl w:val="0"/>
          <w:numId w:val="2"/>
        </w:numPr>
        <w:spacing w:after="0" w:line="24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CTE Medical Assisting 7-12</w:t>
      </w:r>
    </w:p>
    <w:p w:rsidR="00000000" w:rsidDel="00000000" w:rsidP="00000000" w:rsidRDefault="00000000" w:rsidRPr="00000000" w14:paraId="0000000B">
      <w:pPr>
        <w:numPr>
          <w:ilvl w:val="0"/>
          <w:numId w:val="2"/>
        </w:numPr>
        <w:spacing w:after="0" w:line="24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CTE Nurse’s Assisting 7-12</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Bronx STEAM Center will open in September 2025 and will grow to serve approximately 700 juniors and seniors recruited from 10 Bronx partner schools. Through a shared- instructional model, students from our 10 partner schools will divide their day between their home school and the Bronx STEAM Center, where they will gain hands-on experience working alongside industry professionals in a workplace-simulated environment. Our launch pathways include: Certified Nursing Assistant, Certified Clinical Medical Assistant, and Cybersecurity. </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looking for educators with industry experience in Nursing Assisting, Medical Assisting, or Cybersecurity who are passionate about hands-on, career-connected learning. Ideal candidates are committed to fostering inclusive and empowering learning environments and bring an innovative mindset to inspire, mentor, and equip the next generation of leaders and changemakers.</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Bronx STEAM Center aims to equip students with the skills, experiences, and guidance needed to thrive in high-demand careers. Through deep collaboration with employers, higher education, and community partners, the Bronx STEAM Center will provide industry-aligned, project-based learning, work-based opportunities, access to early college credits and career credentials and personalized college and career advising. Our goal is to ensure students don’t just enter middle-skill jobs—they launch into lifelong career growth and economic mobility.</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excited to be working with Montefiore Medical Center as our anchor industry partner. As one of the leading healthcare networks in the city, Montefiore plays an important role in advising on relevant industry certifications, workplace expectations, and providing meaningful work-based learning experiences for Bronx STEAM students.</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3-day summer planning institute will offer an essential opportunity for staff to be involved in developing the school’s culture and instructional program. Additionally, the school will offer opportunities for teachers to participate in:</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After school and/or Saturday tutoring, enrichment, sports, arts, and family programs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In-house school committees and/or special programs.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Daytime professional development such as inquiry work, intervisitations, teacher common planning, and collaborative conversation</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creative and enrichment career-aligned CTE opportunities that are outside of teachers’ contractual obligations, within the scope of a teacher’s responsibilities.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F">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bilingual Spanish preferred, with satisfactory ratings and attendance</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rHeight w:val="240" w:hRule="atLeast"/>
          <w:tblHeader w:val="0"/>
        </w:trPr>
        <w:tc>
          <w:tcPr>
            <w:vMerge w:val="restart"/>
          </w:tcPr>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Developing and implementing curriculum and assessments that are aligned to Career Development Occu</w:t>
            </w:r>
            <w:r w:rsidDel="00000000" w:rsidR="00000000" w:rsidRPr="00000000">
              <w:rPr>
                <w:rFonts w:ascii="Times New Roman" w:cs="Times New Roman" w:eastAsia="Times New Roman" w:hAnsi="Times New Roman"/>
                <w:sz w:val="24"/>
                <w:szCs w:val="24"/>
                <w:rtl w:val="0"/>
              </w:rPr>
              <w:t xml:space="preserve">pational Studies Standards, NYS Health Science Education Standards (if applicable), and certification requirements.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with industry professionals to modify curriculum and ensure alignment of curriculum, professional skills and expectations to varied workplaces.</w:t>
            </w:r>
            <w:r w:rsidDel="00000000" w:rsidR="00000000" w:rsidRPr="00000000">
              <w:rPr>
                <w:rtl w:val="0"/>
              </w:rPr>
            </w:r>
          </w:p>
          <w:p w:rsidR="00000000" w:rsidDel="00000000" w:rsidP="00000000" w:rsidRDefault="00000000" w:rsidRPr="00000000" w14:paraId="00000028">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r w:rsidDel="00000000" w:rsidR="00000000" w:rsidRPr="00000000">
              <w:rPr>
                <w:rtl w:val="0"/>
              </w:rPr>
            </w:r>
          </w:p>
          <w:p w:rsidR="00000000" w:rsidDel="00000000" w:rsidP="00000000" w:rsidRDefault="00000000" w:rsidRPr="00000000" w14:paraId="00000029">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Practicing an open-door policy that encourages collaboration and development of best practice pedagogy</w:t>
            </w:r>
          </w:p>
          <w:p w:rsidR="00000000" w:rsidDel="00000000" w:rsidP="00000000" w:rsidRDefault="00000000" w:rsidRPr="00000000" w14:paraId="0000002A">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professional goals aligned to the Danielson Framework that will assess classroom effectiveness and impact on student achievement</w:t>
            </w:r>
          </w:p>
          <w:p w:rsidR="00000000" w:rsidDel="00000000" w:rsidP="00000000" w:rsidRDefault="00000000" w:rsidRPr="00000000" w14:paraId="0000002B">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seek feedback from industry professionals to continuously revise curriculum and ensure alignment to workplace expectations.</w:t>
            </w:r>
          </w:p>
          <w:p w:rsidR="00000000" w:rsidDel="00000000" w:rsidP="00000000" w:rsidRDefault="00000000" w:rsidRPr="00000000" w14:paraId="0000002C">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safe and supportive learning environment with routines and structures that align to the school's core values</w:t>
            </w:r>
          </w:p>
          <w:p w:rsidR="00000000" w:rsidDel="00000000" w:rsidP="00000000" w:rsidRDefault="00000000" w:rsidRPr="00000000" w14:paraId="0000002D">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Serving as an advisor to a small group of students, including maintaining ongoing communication with parents/guardians and supporting students with goal-setting around academic, social, and emotional achievement and growth</w:t>
            </w:r>
          </w:p>
          <w:p w:rsidR="00000000" w:rsidDel="00000000" w:rsidP="00000000" w:rsidRDefault="00000000" w:rsidRPr="00000000" w14:paraId="0000002E">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Initiating partnerships and mentoring relations with CBO personnel and faculty to enhance school experiences and develop external learning experiences</w:t>
            </w:r>
          </w:p>
          <w:p w:rsidR="00000000" w:rsidDel="00000000" w:rsidP="00000000" w:rsidRDefault="00000000" w:rsidRPr="00000000" w14:paraId="0000002F">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tc>
      </w:tr>
      <w:tr>
        <w:trPr>
          <w:cantSplit w:val="0"/>
          <w:trHeight w:val="240" w:hRule="atLeast"/>
          <w:tblHeader w:val="0"/>
        </w:trPr>
        <w:tc>
          <w:tcPr>
            <w:vMerge w:val="continue"/>
          </w:tcPr>
          <w:p w:rsidR="00000000" w:rsidDel="00000000" w:rsidP="00000000" w:rsidRDefault="00000000" w:rsidRPr="00000000" w14:paraId="00000030">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Willingness to carry out the above duties and responsibilities</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rHeight w:val="240" w:hRule="atLeast"/>
          <w:tblHeader w:val="0"/>
        </w:trPr>
        <w:tc>
          <w:tcPr>
            <w:vMerge w:val="restart"/>
          </w:tcPr>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Evidence of strong content knowledge and ability to help students overcome conceptual difficulties in content area</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enhance instruction through the integration of technology and 21st century skills to support student learning and achievement</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leverage industry-relevant experiences to create hands-on learning projects aligned to industry needs. </w:t>
            </w:r>
          </w:p>
          <w:p w:rsidR="00000000" w:rsidDel="00000000" w:rsidP="00000000" w:rsidRDefault="00000000" w:rsidRPr="00000000" w14:paraId="0000003C">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monitoring and analyzing data to drive instruction and increase student achievement</w:t>
            </w:r>
          </w:p>
          <w:p w:rsidR="00000000" w:rsidDel="00000000" w:rsidP="00000000" w:rsidRDefault="00000000" w:rsidRPr="00000000" w14:paraId="0000003D">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3E">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collaborative and team skills</w:t>
            </w:r>
          </w:p>
          <w:p w:rsidR="00000000" w:rsidDel="00000000" w:rsidP="00000000" w:rsidRDefault="00000000" w:rsidRPr="00000000" w14:paraId="0000003F">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p w:rsidR="00000000" w:rsidDel="00000000" w:rsidP="00000000" w:rsidRDefault="00000000" w:rsidRPr="00000000" w14:paraId="00000040">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continuously align teaching practices to both workplace expectations and evidence-based practices in education.  </w:t>
            </w:r>
          </w:p>
          <w:p w:rsidR="00000000" w:rsidDel="00000000" w:rsidP="00000000" w:rsidRDefault="00000000" w:rsidRPr="00000000" w14:paraId="00000041">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etc.</w:t>
            </w:r>
          </w:p>
          <w:p w:rsidR="00000000" w:rsidDel="00000000" w:rsidP="00000000" w:rsidRDefault="00000000" w:rsidRPr="00000000" w14:paraId="00000042">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effectively communicate orally and in writing with colleagues, parents, students, industry partners, and the community</w:t>
            </w:r>
          </w:p>
        </w:tc>
      </w:tr>
      <w:tr>
        <w:trPr>
          <w:cantSplit w:val="0"/>
          <w:trHeight w:val="240" w:hRule="atLeast"/>
          <w:tblHeader w:val="0"/>
        </w:trPr>
        <w:tc>
          <w:tcPr>
            <w:vMerge w:val="continue"/>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4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sectPr>
      <w:head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VACANCY CIRCULAR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2D8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CE4B3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CE4B3A"/>
    <w:rPr>
      <w:rFonts w:cs="Calibri"/>
      <w:lang w:eastAsia="en-US"/>
    </w:rPr>
  </w:style>
  <w:style w:type="paragraph" w:styleId="Footer">
    <w:name w:val="footer"/>
    <w:basedOn w:val="Normal"/>
    <w:link w:val="FooterChar"/>
    <w:uiPriority w:val="99"/>
    <w:semiHidden w:val="1"/>
    <w:unhideWhenUsed w:val="1"/>
    <w:rsid w:val="00CE4B3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CE4B3A"/>
    <w:rPr>
      <w:rFonts w:cs="Calibri"/>
      <w:lang w:eastAsia="en-US"/>
    </w:rPr>
  </w:style>
  <w:style w:type="character" w:styleId="Hyperlink">
    <w:name w:val="Hyperlink"/>
    <w:basedOn w:val="DefaultParagraphFont"/>
    <w:uiPriority w:val="99"/>
    <w:unhideWhenUsed w:val="1"/>
    <w:rsid w:val="00C42151"/>
    <w:rPr>
      <w:color w:val="0000ff" w:themeColor="hyperlink"/>
      <w:u w:val="single"/>
    </w:rPr>
  </w:style>
  <w:style w:type="table" w:styleId="TableGrid">
    <w:name w:val="Table Grid"/>
    <w:basedOn w:val="TableNormal"/>
    <w:uiPriority w:val="59"/>
    <w:rsid w:val="003730B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46239C"/>
    <w:pPr>
      <w:spacing w:after="0" w:line="240" w:lineRule="auto"/>
    </w:pPr>
    <w:rPr>
      <w:sz w:val="20"/>
      <w:szCs w:val="20"/>
    </w:rPr>
  </w:style>
  <w:style w:type="character" w:styleId="EndnoteTextChar" w:customStyle="1">
    <w:name w:val="Endnote Text Char"/>
    <w:basedOn w:val="DefaultParagraphFont"/>
    <w:link w:val="EndnoteText"/>
    <w:uiPriority w:val="99"/>
    <w:rsid w:val="0046239C"/>
    <w:rPr>
      <w:rFonts w:cs="Calibri"/>
      <w:sz w:val="20"/>
      <w:szCs w:val="20"/>
      <w:lang w:eastAsia="en-US"/>
    </w:rPr>
  </w:style>
  <w:style w:type="character" w:styleId="EndnoteReference">
    <w:name w:val="endnote reference"/>
    <w:basedOn w:val="DefaultParagraphFont"/>
    <w:uiPriority w:val="99"/>
    <w:semiHidden w:val="1"/>
    <w:unhideWhenUsed w:val="1"/>
    <w:rsid w:val="0046239C"/>
    <w:rPr>
      <w:vertAlign w:val="superscript"/>
    </w:rPr>
  </w:style>
  <w:style w:type="paragraph" w:styleId="Default" w:customStyle="1">
    <w:name w:val="Default"/>
    <w:rsid w:val="00D367B1"/>
    <w:pPr>
      <w:autoSpaceDE w:val="0"/>
      <w:autoSpaceDN w:val="0"/>
      <w:adjustRightInd w:val="0"/>
    </w:pPr>
    <w:rPr>
      <w:rFonts w:ascii="Arial" w:cs="Arial" w:hAnsi="Arial"/>
      <w:color w:val="000000"/>
      <w:sz w:val="24"/>
      <w:szCs w:val="24"/>
    </w:rPr>
  </w:style>
  <w:style w:type="character" w:styleId="CommentReference">
    <w:name w:val="annotation reference"/>
    <w:basedOn w:val="DefaultParagraphFont"/>
    <w:uiPriority w:val="99"/>
    <w:semiHidden w:val="1"/>
    <w:unhideWhenUsed w:val="1"/>
    <w:rsid w:val="00BD7A10"/>
    <w:rPr>
      <w:sz w:val="16"/>
      <w:szCs w:val="16"/>
    </w:rPr>
  </w:style>
  <w:style w:type="paragraph" w:styleId="CommentText">
    <w:name w:val="annotation text"/>
    <w:basedOn w:val="Normal"/>
    <w:link w:val="CommentTextChar"/>
    <w:uiPriority w:val="99"/>
    <w:semiHidden w:val="1"/>
    <w:unhideWhenUsed w:val="1"/>
    <w:rsid w:val="00BD7A10"/>
    <w:pPr>
      <w:spacing w:line="240" w:lineRule="auto"/>
    </w:pPr>
    <w:rPr>
      <w:sz w:val="20"/>
      <w:szCs w:val="20"/>
    </w:rPr>
  </w:style>
  <w:style w:type="character" w:styleId="CommentTextChar" w:customStyle="1">
    <w:name w:val="Comment Text Char"/>
    <w:basedOn w:val="DefaultParagraphFont"/>
    <w:link w:val="CommentText"/>
    <w:uiPriority w:val="99"/>
    <w:semiHidden w:val="1"/>
    <w:rsid w:val="00BD7A10"/>
    <w:rPr>
      <w:rFonts w:cs="Calibri"/>
      <w:sz w:val="20"/>
      <w:szCs w:val="20"/>
      <w:lang w:eastAsia="en-US"/>
    </w:rPr>
  </w:style>
  <w:style w:type="paragraph" w:styleId="CommentSubject">
    <w:name w:val="annotation subject"/>
    <w:basedOn w:val="CommentText"/>
    <w:next w:val="CommentText"/>
    <w:link w:val="CommentSubjectChar"/>
    <w:uiPriority w:val="99"/>
    <w:semiHidden w:val="1"/>
    <w:unhideWhenUsed w:val="1"/>
    <w:rsid w:val="00BD7A10"/>
    <w:rPr>
      <w:b w:val="1"/>
      <w:bCs w:val="1"/>
    </w:rPr>
  </w:style>
  <w:style w:type="character" w:styleId="CommentSubjectChar" w:customStyle="1">
    <w:name w:val="Comment Subject Char"/>
    <w:basedOn w:val="CommentTextChar"/>
    <w:link w:val="CommentSubject"/>
    <w:uiPriority w:val="99"/>
    <w:semiHidden w:val="1"/>
    <w:rsid w:val="00BD7A10"/>
    <w:rPr>
      <w:rFonts w:cs="Calibri"/>
      <w:b w:val="1"/>
      <w:bCs w:val="1"/>
      <w:sz w:val="20"/>
      <w:szCs w:val="20"/>
      <w:lang w:eastAsia="en-US"/>
    </w:rPr>
  </w:style>
  <w:style w:type="paragraph" w:styleId="Revision">
    <w:name w:val="Revision"/>
    <w:hidden w:val="1"/>
    <w:uiPriority w:val="99"/>
    <w:semiHidden w:val="1"/>
    <w:rsid w:val="00BD7A10"/>
    <w:rPr>
      <w:rFonts w:cs="Calibri"/>
      <w:lang w:eastAsia="en-US"/>
    </w:rPr>
  </w:style>
  <w:style w:type="paragraph" w:styleId="BalloonText">
    <w:name w:val="Balloon Text"/>
    <w:basedOn w:val="Normal"/>
    <w:link w:val="BalloonTextChar"/>
    <w:uiPriority w:val="99"/>
    <w:semiHidden w:val="1"/>
    <w:unhideWhenUsed w:val="1"/>
    <w:rsid w:val="00BD7A1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7A10"/>
    <w:rPr>
      <w:rFonts w:ascii="Tahoma" w:cs="Tahoma"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ronxsteamcenter@schools.nyc.go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35lkfZfhLDelYRc3PjBL528gg==">CgMxLjAyCGguZ2pkZ3hzOABqIwoUc3VnZ2VzdC45d2FuZXlnanZuMmESC01hcnRhIENvbG9uaiUKFHN1Z2dlc3Qub3pjemE2amFwN2hhEg1XaWxsaWFtIER1Z2FuciExMFpFN1ZBa1YwdHJYeVZYZURIS19tRzZnZFdlVXB6Yng=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2014-04-09T19:18:00Z</dcterms:created>
  <dc:creator>MPotter4</dc:creator>
</cp:coreProperties>
</file>