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Mathematics Faculty</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 </w:t>
      </w:r>
      <w:r w:rsidDel="00000000" w:rsidR="00000000" w:rsidRPr="00000000">
        <w:rPr>
          <w:rFonts w:ascii="Times New Roman" w:cs="Times New Roman" w:eastAsia="Times New Roman" w:hAnsi="Times New Roman"/>
          <w:b w:val="1"/>
          <w:sz w:val="24"/>
          <w:szCs w:val="24"/>
          <w:rtl w:val="0"/>
        </w:rPr>
        <w:t xml:space="preserve">Mathematics</w:t>
      </w:r>
      <w:r w:rsidDel="00000000" w:rsidR="00000000" w:rsidRPr="00000000">
        <w:rPr>
          <w:rFonts w:ascii="Times New Roman" w:cs="Times New Roman" w:eastAsia="Times New Roman" w:hAnsi="Times New Roman"/>
          <w:sz w:val="24"/>
          <w:szCs w:val="24"/>
          <w:rtl w:val="0"/>
        </w:rPr>
        <w:t xml:space="preserve"> 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candidates to teach Algebra II/Trig at the high school and college levels across all proficiency levels. Candidates will design engaging lessons that develop advanced mathematical problem-solving, computational skills while connecting language learning to real-world experiences. Emphasizing the contributions of diverse cultural communities, candidates will foster an inclusive environment that supports students in earning both their high school diploma and a tuition-free associate’s degree. Collaboration with faculty to promote project-based learning and interdisciplinary instruction is strongly encouraged.</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D">
      <w:pPr>
        <w:spacing w:line="240" w:lineRule="auto"/>
        <w:rPr/>
      </w:pPr>
      <w:r w:rsidDel="00000000" w:rsidR="00000000" w:rsidRPr="00000000">
        <w:rPr>
          <w:rFonts w:ascii="Times New Roman" w:cs="Times New Roman" w:eastAsia="Times New Roman" w:hAnsi="Times New Roman"/>
          <w:sz w:val="24"/>
          <w:szCs w:val="24"/>
          <w:rtl w:val="0"/>
        </w:rPr>
        <w:t xml:space="preserve">As per Collective Bargaining Agreement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